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BE" w:rsidRDefault="00684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Załącznik</w:t>
      </w:r>
    </w:p>
    <w:p w:rsidR="006145BE" w:rsidRDefault="00684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do Zarządzenia nr 0050.14.2022</w:t>
      </w:r>
    </w:p>
    <w:p w:rsidR="006145BE" w:rsidRDefault="00684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Wójta Gminy Sokolniki </w:t>
      </w:r>
    </w:p>
    <w:p w:rsidR="006145BE" w:rsidRDefault="00684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z dnia 24 marca 2022 r.</w:t>
      </w:r>
    </w:p>
    <w:p w:rsidR="006145BE" w:rsidRDefault="006145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5BE" w:rsidRDefault="00684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OTWARTYM KONKURSIE OFERT</w:t>
      </w:r>
    </w:p>
    <w:p w:rsidR="006145BE" w:rsidRDefault="006846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</w:t>
      </w:r>
      <w:r>
        <w:rPr>
          <w:rFonts w:ascii="Times New Roman" w:hAnsi="Times New Roman" w:cs="Times New Roman"/>
          <w:sz w:val="24"/>
          <w:szCs w:val="24"/>
        </w:rPr>
        <w:t>ie art. 11 ust. 2 oraz art. 13 ustawy z dnia 24 kwietnia 2003 r.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i wolontariacie (Dz. U. z 2020 r. poz. 1057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uchwałą nr XXXIX/247/21 Rady Gminy Sokolniki z dnia 29 listopada 2021 r.               </w:t>
      </w:r>
      <w:r>
        <w:rPr>
          <w:rFonts w:ascii="Times New Roman" w:hAnsi="Times New Roman" w:cs="Times New Roman"/>
          <w:sz w:val="24"/>
          <w:szCs w:val="24"/>
        </w:rPr>
        <w:t xml:space="preserve">     w sprawie  przyjęcia „Programu współpracy gminy Sokolniki z organizacjami pozarządowym oraz z podmiotami, o których mowa w art. 3 ust. 3 ustawy z dnia 24 kwietnia 2003 r.                         o działalności pożytku publicznego i wolontariacie na 20</w:t>
      </w:r>
      <w:r>
        <w:rPr>
          <w:rFonts w:ascii="Times New Roman" w:hAnsi="Times New Roman" w:cs="Times New Roman"/>
          <w:sz w:val="24"/>
          <w:szCs w:val="24"/>
        </w:rPr>
        <w:t>22 rok”</w:t>
      </w:r>
    </w:p>
    <w:p w:rsidR="006145BE" w:rsidRDefault="00684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Sokolniki</w:t>
      </w:r>
    </w:p>
    <w:p w:rsidR="006145BE" w:rsidRDefault="006846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otwarty konkurs ofert w formie wsparcia realizacji zadania publicznego - wspieranie i upowszechnianie kultury </w:t>
      </w:r>
      <w:r>
        <w:rPr>
          <w:rFonts w:ascii="Times New Roman" w:hAnsi="Times New Roman" w:cs="Times New Roman"/>
          <w:b/>
          <w:sz w:val="24"/>
        </w:rPr>
        <w:t xml:space="preserve">i kultury fizycznej w zakresie organizacji </w:t>
      </w:r>
      <w:r>
        <w:rPr>
          <w:rFonts w:ascii="Times New Roman" w:eastAsia="Calibri" w:hAnsi="Times New Roman" w:cs="Times New Roman"/>
          <w:b/>
          <w:sz w:val="24"/>
          <w:szCs w:val="18"/>
        </w:rPr>
        <w:t>gminnego pikniku dla dzieci i młodzieży z terenu gminy Sokolniki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145BE">
        <w:tc>
          <w:tcPr>
            <w:tcW w:w="9062" w:type="dxa"/>
            <w:shd w:val="clear" w:color="auto" w:fill="D9D9D9" w:themeFill="background1" w:themeFillShade="D9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odzaj i cel zadania, wysokość środków publicznych, które gmina Sokolniki ma zamiar przeznaczyć na realizację tego zadania, termin realizacji zadania oraz dopuszczalne rezultaty zadania</w:t>
            </w:r>
          </w:p>
        </w:tc>
      </w:tr>
      <w:tr w:rsidR="006145BE">
        <w:tc>
          <w:tcPr>
            <w:tcW w:w="9062" w:type="dxa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Celem konkursu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jest organizacja pikniku gminnego dla dzieci i młodzież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 z terenu gminy Sokolniki. Inicjatywa powinna służyć popularyzacji aktywnego spędzania czasu w połączeniu ze wspieraniem i upowszechnianiem kultury.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środków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przeznaczona na realizację zadania: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5.000,00 zł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realizacji zadania: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maj-wrzesień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 r.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rezultaty zadania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zwiększenie aktywności fizycznej mieszkańców poprzez zorganizowanie rozgrywek sportowych oraz stworzenie warunków dzieciom i młodzieży z terenu gminy Sokolniki do uczestnictwa                      w wydarzeniach 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lturalnych.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Rekomendowany sposób monitorowania rezultatów: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wszelkie źródła informacji potwierdzające organizację pikniku (np. program wydarzenia, plakat, ulotka, dokumentacja fotograficzna, strona internetowa/ fanpage na Facebook-u i liczba odsłon,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liczenie widzów przez wolontariuszy, zestawienia z informacją o miejscach dystrybucji materiałów, oświadczenia sędziów itp.).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uznaje się za zrealizowane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jeżeli oferent zrealizuje 90% założonych                w ofercie rezultatów. Nieosiągnięcie 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zultatów może doprowadzić do proporcjonalnego zwrotu przyznanych środków oferentowi.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okresie obowiązywania stanu zagrożenia epidemicznego albo stanu epidemii, za zgodą Zleceniodawcy, dopuszcza się możliwość zmiany pierwotnie zaplanowanej formy realizacji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zadania na formę zdalną za pomocą środków komunikacji elektronicznej lub inną formę.</w:t>
            </w: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145BE">
        <w:tc>
          <w:tcPr>
            <w:tcW w:w="9062" w:type="dxa"/>
            <w:shd w:val="clear" w:color="auto" w:fill="D9D9D9" w:themeFill="background1" w:themeFillShade="D9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Zrealizowane przez gminę Sokolniki w danym roku oraz roku poprzednim zadania publiczne tego samego rodzaju i związane z nimi koszty, ze szczególnym uwzględnieniem wys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okości dotacji przekazanych podmiotom uprawnionym</w:t>
            </w:r>
          </w:p>
        </w:tc>
      </w:tr>
      <w:tr w:rsidR="006145BE">
        <w:tc>
          <w:tcPr>
            <w:tcW w:w="9062" w:type="dxa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 poprzedzającym rok ogłoszenia otwartego konkursu ofert – 1.500,00 zł.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 ogłoszenia otwartego konkursu zadanie nie było realizowane.</w:t>
            </w: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145BE">
        <w:tc>
          <w:tcPr>
            <w:tcW w:w="9062" w:type="dxa"/>
            <w:shd w:val="clear" w:color="auto" w:fill="D9D9D9" w:themeFill="background1" w:themeFillShade="D9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 przyznawania dotacji</w:t>
            </w:r>
          </w:p>
        </w:tc>
      </w:tr>
      <w:tr w:rsidR="006145BE">
        <w:tc>
          <w:tcPr>
            <w:tcW w:w="9062" w:type="dxa"/>
          </w:tcPr>
          <w:p w:rsidR="006145BE" w:rsidRDefault="006846F2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Dotacja z budżetu gminy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Sokolniki może zostać przyznana podmiotom uprawnionym: organizacjom pozarządowym w rozumieniu ustawy z dnia 24 kwietnia 2003 r o działalności pożytku publicznego i o wolontariacie lub podmiotom wymienionym w art. 3 ust. 3 powyższej ustawy, jeżeli ich cele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statutowe obejmują prowadzenie działalności w zakresie tematu ogłoszonego konkursu.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 uprawniony złoży ofertę w podanym terminie i miejscu oraz skieruje ją do właściwego adresata.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zaplanowane przez Oferenta zostaną zrealizowane w okresie 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kazanym w ogłoszeniu oraz zgodnie z rodzajem i celem zadania.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zostanie złożona na obowiązującym formularzu zgodnym ze wzorem określonym w aktualnym rozporządzeniu Przewodniczącego Komitetu do spraw Pożytku Publicznego, podpisanym przez osobę lub oso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by upoważnione do składania oświadczeń woli w imieniu oferenta zgodnie KRS-em lub innym dokumentem lub rejestrem określającym sposób reprezentacji wraz                               z pieczątkami imiennymi, a w przypadku ich braku wymagane są czytelne podp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isy umożliwiające jednoznaczną weryfikację osoby/osób podpisującej/podpisujących oraz pieczęć organizacji, jeśli Oferent taką posiada.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Oferty, które spełnią wymogi formalne opiniowane będą pod względem merytorycznym z uwzględnieniem kryteriów określonych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art. 15 ust. 1 ustawy z dnia 24 kwietnia 2003 r. o działalności pożytku publicznego                            i wolontariacie.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Postępowanie konkursowe odbywać będzie się z uwzględnieniem zasad określonych w ustawie z dnia 24 kwietnia 2003 r. o działalnoś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 pożytku publicznego i wolontariacie.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Kwota wnioskowanej dotacji nie może przekroczyć 95% całkowitego kosztu realizacji tej oferty, przy czym finansowy udział środków własnych oferenta bądź pozyskanych z innym źródeł nie może być mniejszy niż 5% całkowit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ego kosztu realizacji zadania ujętego w ofercie (należy wykazać co najmniej 5 % środków finansowych własnych bądź pozyskanych z innych źródeł; nie dopuszcza się zamiany wkładu finansowego na wkład osobowy, w tym wyceny pracy społecznej członków; zadeklarow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any wkład własny musi zostać wykorzystany w trakcie realizacji zadania).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Możliwe jest finansowanie jednej oferty lub żadnej z ofert.</w:t>
            </w:r>
          </w:p>
          <w:p w:rsidR="006145BE" w:rsidRDefault="006145BE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145BE">
        <w:tc>
          <w:tcPr>
            <w:tcW w:w="9062" w:type="dxa"/>
            <w:shd w:val="clear" w:color="auto" w:fill="AEAAAA" w:themeFill="background2" w:themeFillShade="BF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 realizacji zadania</w:t>
            </w:r>
          </w:p>
        </w:tc>
      </w:tr>
      <w:tr w:rsidR="006145BE">
        <w:tc>
          <w:tcPr>
            <w:tcW w:w="9062" w:type="dxa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zadania zleconego, wyłonionego w drodze niniejszego konkursu następuje po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zawarciu umów z podmiotami, które złożyły oferty.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wyraża się zgody na zwiększenie procentowego udziału dotacji w całkowitym koszcie zadania publicznego.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Podmiot, który otrzyma dotację na realizację zadania zobowiązany jest zamieszczać w sposób czytelny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informację, że realizowany projekt jest dofinansowany z budżetu gminy Sokolniki. Informacja wraz z logotypem Gminy, powinna być zawarta                     w wydawanych w ramach zadania publikacjach, materiałach informacyjnych, promocyjnych, w tym na stro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internetowej/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fanapage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Facebook-u Zleceniobiorcy, jak również stosownie do charakteru zadania, poprzez widoczną                w miejscu jego realizacji tablicę, lub poprzez ustną informację kierowaną do odbiorców w następującym brzmieniu: „Zadanie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zadania) zostało/jest realizowane dzięki dofinansowaniu z budżetu gminy Sokolniki”. Logotyp Gmina przekaże po rozstrzygnięciu konkursu na adres e-mail Oferenta.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zatwierdzeniu oferty i podpisaniu umowy, dokonywanie w trakcie realizacji zadania prze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sunięć pomiędzy poszczególnymi pozycjami kosztów określonymi               w kalkulacji przewidywanych kosztów wymaga uzyskania zgody Wójta Gminy Sokolniki w formie aneksu do umowy, jeżeli suma proponowanych zmian przekroczy 10 % wartości danej pozycji kos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ztów.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Zadanie powinno mieć charakter ogólnodostępny.</w:t>
            </w:r>
          </w:p>
          <w:p w:rsidR="006145BE" w:rsidRDefault="006846F2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Zadanie powinno być </w:t>
            </w:r>
            <w:r w:rsidR="00F40BB9" w:rsidRPr="00F40BB9">
              <w:rPr>
                <w:rFonts w:ascii="Times New Roman" w:eastAsia="Calibri" w:hAnsi="Times New Roman" w:cs="Times New Roman"/>
                <w:sz w:val="24"/>
              </w:rPr>
              <w:t>zaprojektowane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 realizowane przez oferenta                                 w taki sposób, aby nie</w:t>
            </w:r>
            <w:r w:rsidRPr="00F40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40BB9" w:rsidRPr="00F40BB9">
              <w:rPr>
                <w:rFonts w:ascii="Times New Roman" w:eastAsia="Calibri" w:hAnsi="Times New Roman" w:cs="Times New Roman"/>
                <w:sz w:val="24"/>
              </w:rPr>
              <w:t>wykluczało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z uczestnictwa w nich osób ze specjalnymi potrzebami. Zapewnianie dostępności przez Zleceniobiorcę oznacza obowiązek osiągnięcia stanu faktycznego, w którym osoba ze szczególnymi potrzebami jako odbiorca zadania publicznego, może w nim uczestniczyć na zas</w:t>
            </w:r>
            <w:r>
              <w:rPr>
                <w:rFonts w:ascii="Times New Roman" w:eastAsia="Calibri" w:hAnsi="Times New Roman" w:cs="Times New Roman"/>
                <w:sz w:val="24"/>
              </w:rPr>
              <w:t>adzie równości                   z innymi osobami. W ramach realizacji zadania publicznego dopuszcza się umieszczanie w kosztach realizacji działania, w kalkulacji przewidywanych kosztów realizacji zadania publicznego, kosztów związanych z zapewnianiem dos</w:t>
            </w:r>
            <w:r>
              <w:rPr>
                <w:rFonts w:ascii="Times New Roman" w:eastAsia="Calibri" w:hAnsi="Times New Roman" w:cs="Times New Roman"/>
                <w:sz w:val="24"/>
              </w:rPr>
              <w:t>tępności.</w:t>
            </w:r>
          </w:p>
          <w:p w:rsidR="006145BE" w:rsidRDefault="006145BE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145BE">
        <w:tc>
          <w:tcPr>
            <w:tcW w:w="9062" w:type="dxa"/>
            <w:shd w:val="clear" w:color="auto" w:fill="D9D9D9" w:themeFill="background1" w:themeFillShade="D9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Koszty kwalifikowane</w:t>
            </w:r>
          </w:p>
        </w:tc>
      </w:tr>
      <w:tr w:rsidR="006145BE">
        <w:tc>
          <w:tcPr>
            <w:tcW w:w="9062" w:type="dxa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Środki z przyznanej dotacji mogą być wydatkowane wyłącznie na pokrycie wydatków: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niezbędnych do realizacji zadania;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przewidzianych w ofercie, uwzględnionych w kosztorysie, stanowiącym załącznik do umowy zawartej pomiędzy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Oferentem a gminą Sokolniki;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spełniających wymogi racjonalnego i oszczędnego gospodarowania środkami publicznymi z zachowaniem zasady uzyskiwania najlepszych efektów z danych nakładów;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pokrycie kosztów związanych z ubezpieczeniem uczestników;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faktycznie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poniesionych w terminie realizacji zadania i zapłaconych nie później niż 14 dni po jego zakończeniu, jednak w terminie nie późniejszym niż przed zakończeniem roku budżetowego;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popartych właściwymi dowodami księgowymi (faktury, umowy oraz rachunki do umów)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prawidłowo odzwierciedlających w ewidencji księgowej (oferent zobowiązany jest do prowadzenia wyodrębnionej dokumentacji finansowo-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księgowej środków finansowych otrzymanych na realizację zadania zgodnie                    z ustawą o rachunkowości, w sposó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 umożliwiający identyfikację poszczególnych operacji księgowych);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związanych z kosztami obsługi zadania, w tym kosztami administracyjnymi                (m. in. koordynacja administracyjna zadania, wykonywanie zadań administracyjno-nadzorczo-kontrolnych,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obsługa prawna i finansowa zadania);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zgodnych z wymaganiami szczegółowymi realizacji zadania zawartymi                            w punkcie IX ogłoszenia o konkursie.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Limit kosztów administracyjnych zaplanowanych do poniesienia z dotacji może wynieść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maksymalnie 12 % wnioskowanej dotacji.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Koszty kwalifikowalne mogą zawierać koszty osobowe i bezosobowe (wynagrodzenia wraz z kosztami pracownika i pracodawcy). W kosztorysie oferty należy w szczególności określić wynagrodzenie dla każdego stanowiska pracy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(wynagrodzenie w kwocie brutto wraz z pochodnymi, z podaniem wielkości etatu lub stawek za godzinę pracy).</w:t>
            </w: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p w:rsidR="006145BE" w:rsidRDefault="00614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145BE">
        <w:tc>
          <w:tcPr>
            <w:tcW w:w="9062" w:type="dxa"/>
            <w:shd w:val="clear" w:color="auto" w:fill="D9D9D9" w:themeFill="background1" w:themeFillShade="D9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Koszty niekwalifikowalne</w:t>
            </w:r>
          </w:p>
        </w:tc>
      </w:tr>
      <w:tr w:rsidR="006145BE">
        <w:tc>
          <w:tcPr>
            <w:tcW w:w="9062" w:type="dxa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Koszty, które nie zostaną uznane za kwalifikowane: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zobowiązania powstałe przed terminem rozpoczęcia zadania;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budowa, zak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 budynków lub lokali, zakup gruntów lub innych nieruchomości;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wydatki związane z działalnością gospodarczą;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działalność polityczna i religijna;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odsetki od zobowiązań uregulowanych po terminie płatności;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nagrody pieniężne – finansowane ze środków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pochodzących z dotacji;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nagrody rzeczowe o wartości przekraczającej 10 % dotacji;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odliczony podatek VAT;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wydatki związane z umową leasingu;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kary, w tym umowne, grzywny i inne opłaty o charakterze sankcyjnym.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niekwalifikowalne związane z realizacją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zadania ponosi oferent.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Niedozwolone jest podwójne finansowanie wydatku, tzn. opłacenie lub zrefundowanie całkowite lub częściowe danego wydatku dwa razy ze środków publicznych, wspólnotowych lub krajowych.</w:t>
            </w:r>
          </w:p>
          <w:p w:rsidR="006145BE" w:rsidRDefault="006145BE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BE">
        <w:tc>
          <w:tcPr>
            <w:tcW w:w="9062" w:type="dxa"/>
            <w:shd w:val="clear" w:color="auto" w:fill="AEAAAA" w:themeFill="background2" w:themeFillShade="BF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i warunki składania ofert</w:t>
            </w:r>
          </w:p>
        </w:tc>
      </w:tr>
      <w:tr w:rsidR="006145BE">
        <w:tc>
          <w:tcPr>
            <w:tcW w:w="9062" w:type="dxa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powinna zostać złożona: na obowiązującym wzorze stanowiącym załącznik nr 1 do rozporządzenia Przewodniczącego Komitetu do spraw Pożytku Publicznego z dnia 24 października 2018 r. w sprawie wzorów ofert                  i ramowych wzorów umów dotyczących 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alizacji zadań publicznych oraz wzorów sprawozdań z wykonania tych zadań;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powinna zostać złożona w formie papierowej.  Oferty należy składać                 w zamkniętej kopercie z dokładnym wskazaniem nazwy konkursu.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powinna zostać złożona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jednym egzemplarzu, w języku polskim, osobiście lub za pośrednictwem poczty na adres: Wójt Gminy Sokolniki,                    ul. Marszałka Józefa Piłsudskiego 1, 98-420 Sokolniki,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dnia 15 kwietnia 2022 roku, do godziny 15:00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dacie złożenia oferty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decyduje data wpływu do Urzędu, a nie data stempla pocztowego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Oferta powinna być podpisana przez osobę lub osoby upoważnione do składania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oświadczeń woli w imieniu oferenta zgodnie z KRS-em lub innym dokumentem lub rejestrem określającym sposób reprezenta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cji wraz                              z pieczątkami imiennymi, a w przypadku ich braku wymagane są czytelne podpisy umożliwiające jednoznaczną weryfikację osoby/osób podpisującej/-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pieczęć organizacji jeśli oferent taką posiada.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Oferta powinna być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wypełniona w każdym polu, a jeżeli wypełnienie nie dotyczy oferenta należy wpisać „nie dotyczy”. Należy również wypełnić (przez dokonanie odpowiednich skreśleń) oświadczenia znajdujące się na końcu oferty.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oferty konkursowej obligatoryjnie należy dołącz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yć: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aktualny wypis z KRS lub odpowiednio wyciąg z ewidencji potwierdzającej status prawny oferenta i umocowanie osób go reprezentujących;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statut organizacji lub jego kserokopię potwierdzoną za zgodność                     z oryginałem;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oświadczenie o nie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rowadzeniu działalności w celu osiągnięcia zysku;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oświadczenie o braku zajęć komorniczych wobec oferenta oraz braku zaległości w płatnościach na rzecz ZUS i Urzędu Skarbowego;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oświadczenie o wykorzystaniu zgodnie z przeznaczeniem dotacji na realizację zada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nia publicznego w ostatnich 2 latach, a w przypadku kiedy okres działania jest krótszy niż 2 lata za okres faktycznego działania.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zadania publicznego przewidziana jest na okres od dnia podpisania umowy do dnia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września 2022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Oznacza to, że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zadania publicznego wskazany przez podmiot w ofercie może być krótszy niż wyżej wymieniony, ale nie może być dłuższy.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Czas realizacji powinien obejmować: okres przygotowania, przeprowadzenia oraz zakończenia zadania. Wszystkie dokumenty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sięgowe muszą zostać wystawione do dnia zakończenia zadania.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będą przyjmowane oferty przesyłane drogą elektroniczną.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oferencie spoczywa obowiązek spełnienia wszystkich wymogów prawnych przy realizacji zadania, w tym dotyczących ewentualnej organizac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ji imprez zbiorowych, takich jak: pozwoleń, zgód właścicieli/zarządców terenu. Oferent             w całości odpowiada za prawidłową realizację zadania będącego przedmiotem oferty o dofinansowanie w ramach niniejszego konkursu oraz prawidłowe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 terminowe poniesienie związanych z nim kosztów.</w:t>
            </w: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22" w:type="dxa"/>
        <w:tblLayout w:type="fixed"/>
        <w:tblLook w:val="04A0" w:firstRow="1" w:lastRow="0" w:firstColumn="1" w:lastColumn="0" w:noHBand="0" w:noVBand="1"/>
      </w:tblPr>
      <w:tblGrid>
        <w:gridCol w:w="9122"/>
      </w:tblGrid>
      <w:tr w:rsidR="006145BE">
        <w:tc>
          <w:tcPr>
            <w:tcW w:w="9122" w:type="dxa"/>
            <w:shd w:val="clear" w:color="auto" w:fill="D9D9D9" w:themeFill="background1" w:themeFillShade="D9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Braki formalne oferty</w:t>
            </w:r>
          </w:p>
        </w:tc>
      </w:tr>
      <w:tr w:rsidR="006145BE">
        <w:tc>
          <w:tcPr>
            <w:tcW w:w="9122" w:type="dxa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Złożone oferty podlegać będą ocenie formalnej pod kątem kompletności                            i prawidłowości wymaganej dokumentacji.</w:t>
            </w:r>
          </w:p>
          <w:p w:rsidR="006145BE" w:rsidRDefault="006846F2">
            <w:pPr>
              <w:pStyle w:val="Akapitzlist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Oferta nie podlega opiniowaniu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zostaje odrzucona z powodu następujących braków formalnych: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po terminie;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złożenie w sposób niezgodny z wymaganiami szczegółowymi zawartymi                            w punkcie IX ogłoszenia o konkursie;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na niewłaściwym formularzu;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 przez podmiot nieuprawniony;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przez oferenta, który nie prowadzi działalności statutowej w dziedzinie objętej konkursem;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złożenie oferty na zadanie, które nie jest realizowane na rzecz gminy Sokolniki lub jego mieszkańców;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złożenie oferty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zadanie, którego termin realizacji nie mieści się w przedziale czasowym wskazanym w ogłoszeniu o konkursie;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wnioskowana przez Oferenta kwota dofinansowanie nie spełnia kryterium określonego w ogłoszeniu o konkursie;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wkładu własnego Oferenta nie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pełnia kryterium określonego                        w ogłoszeniu o konkursie;</w:t>
            </w:r>
          </w:p>
          <w:p w:rsidR="006145BE" w:rsidRPr="009D6BEB" w:rsidRDefault="006846F2" w:rsidP="009D6BEB">
            <w:pPr>
              <w:pStyle w:val="Akapitzlist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EB">
              <w:rPr>
                <w:rFonts w:ascii="Times New Roman" w:eastAsia="Calibri" w:hAnsi="Times New Roman" w:cs="Times New Roman"/>
                <w:sz w:val="24"/>
                <w:szCs w:val="24"/>
              </w:rPr>
              <w:t>Do ofert, które podlegają</w:t>
            </w:r>
            <w:r w:rsidRPr="009D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jednokrotnemu usunięciu braków i nieprawidłowości należą te, w których:</w:t>
            </w:r>
          </w:p>
          <w:p w:rsidR="009D6BEB" w:rsidRPr="009D6BEB" w:rsidRDefault="009D6BEB" w:rsidP="009D6BEB">
            <w:pPr>
              <w:pStyle w:val="Akapitzlist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 jest podpisu osób upoważnionych;</w:t>
            </w:r>
          </w:p>
          <w:p w:rsidR="009D6BEB" w:rsidRPr="009D6BEB" w:rsidRDefault="009D6BEB" w:rsidP="009D6BEB">
            <w:pPr>
              <w:pStyle w:val="Akapitzlist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załączono wymaganych załączników wskazanych w ogłoszeniu o konkursie lub złożono je niekompletne.</w:t>
            </w:r>
          </w:p>
          <w:p w:rsidR="006145BE" w:rsidRDefault="006846F2" w:rsidP="009D6BEB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EB">
              <w:rPr>
                <w:rFonts w:ascii="Times New Roman" w:eastAsia="Calibri" w:hAnsi="Times New Roman" w:cs="Times New Roman"/>
                <w:sz w:val="24"/>
                <w:szCs w:val="24"/>
              </w:rPr>
              <w:t>W przypadku nieprawidłowości wskazany</w:t>
            </w:r>
            <w:bookmarkStart w:id="0" w:name="_GoBack"/>
            <w:bookmarkEnd w:id="0"/>
            <w:r w:rsidRPr="009D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 w:rsidRPr="009D6BEB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ust. 2 oferent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zostanie wezwany do jej uzupełnienia listownie, mailem lub telefonicznie.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uzupełnienia wynosi 3 dni </w:t>
            </w:r>
            <w:r w:rsidR="009D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robocze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otrzymania wezwania.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Pracownicy Urzędu wskazani przez Wójta Gminy Sokolniki dokonają analizy ofert pod względem formalnym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przekazują je Komisji Konkursowej, która dokona oceny merytorycznej.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Nieuzupełnienie wszystkich braków i nieprawidłowości, o których mowa w ust. 2 lub uzupełnienie ich po terminie skutkować będzie odrzuceniem oferty na etapie oceny formalnej.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 złożen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 oferty pracownicy realizatora konkursu ofert mogą sprawdzić ofertę pod względem formalnym i udzielić stosownych wyjaśnień najpóźniej w terminie do 2 dni roboczych przed upływem terminu składania ofert.</w:t>
            </w:r>
          </w:p>
          <w:p w:rsidR="006145BE" w:rsidRDefault="006145BE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145BE">
        <w:tc>
          <w:tcPr>
            <w:tcW w:w="9062" w:type="dxa"/>
            <w:shd w:val="clear" w:color="auto" w:fill="D9D9D9" w:themeFill="background1" w:themeFillShade="D9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Wymagania szczegółowe dotyczące realizacji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6145BE">
        <w:tc>
          <w:tcPr>
            <w:tcW w:w="9062" w:type="dxa"/>
          </w:tcPr>
          <w:p w:rsidR="006145BE" w:rsidRDefault="006846F2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Charakterystyka zadania: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 zadania: organizacja pikniku gminnego dla dzieci i młodzieży z terenu gminy Sokolniki.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Rekomendowane rezultaty zadania zwiększenie aktywności fizycznej poprzez zorganizowanie rozgrywek sportowych oraz stworzenie warunk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ów dzieciom                i młodzieży z terenu gminy Sokolniki do uczestnictwa w wydarzeniach kulturalnych.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Rekomendowany sposób monitorowania rezultatów: wszelkie źródła informacji potwierdzające organizację pikniku (np. program wydarzenia, plakat, ulotk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a, dokumentacja fotograficzna, strona internetowa/ fanpage na Facebook-u i liczba odsłon, liczenie widzów przez wolontariuszy, zestawienia z informacją                      o miejscach dystrybucji materiałów, oświadczenia sędziów itp.).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uznaje się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zrealizowane, jeżeli oferent zrealizuje 90% założonych              w ofercie rezultatów. Nieosiągnięcie rezultatów w ww. kwestii skutkuje konsekwencją proporcjonalnego zwrotu przyznanych środków.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 może złożyć wyłącznie jedną ofertę.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Dotowane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mogą być tylko zadania realizowane na terenie gminy Sokolniki. Zadanie powinno obejmować co najmniej 50 uczestników.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Pełną odpowiedzialność za bezpieczeństwo uczestników wydarzenia ponosi oferent.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 nie może posiadać zadłużenia wobec Gminy Sokolniki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Urzędu Skarbowego oraz Zakładu Ubezpieczeń Społecznych.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Gmina Sokolniki zastrzega sobie prawo do odstąpienia od zawarcia umowy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lub natychmiastowego jej rozwiązania, jeżeli po zakończeniu procedury konkursowej do Urzędu Gminy w Sokolnikach wpłynie informac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                            o wymagalności zadłużenia oferenta wobec Gminy Sokolniki, Urzędu Skarbowego oraz Zakładu Ubezpieczeń Społecznych lub zostanie wobec oferenta rozpoczęta egzekucja sądowa, administracyjna bądź zajęcie wierzytelności.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Oferent, 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óremu zostanie udzielona dotacja zobowiązany jest do wyodrębnienia w ewidencji księgowej środków otrzymanych na realizację zadania publicznego zgodnie z ustawą o rachunkowości w sposób umożliwiający identyfikację poszczególnych operacji księgowych.</w:t>
            </w:r>
          </w:p>
          <w:p w:rsidR="006145BE" w:rsidRDefault="006846F2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podlegają wszystkie dokumenty merytoryczne i finansowe, niezbędne do oceny zasadności wykorzystania środków publicznych                       i realizowania zadania zgodnie z umową dotacyjną.</w:t>
            </w: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145BE">
        <w:tc>
          <w:tcPr>
            <w:tcW w:w="9062" w:type="dxa"/>
            <w:shd w:val="clear" w:color="auto" w:fill="D9D9D9" w:themeFill="background1" w:themeFillShade="D9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Tryb i kryteria stosowane przy wyborze oferty</w:t>
            </w:r>
          </w:p>
        </w:tc>
      </w:tr>
      <w:tr w:rsidR="006145BE">
        <w:tc>
          <w:tcPr>
            <w:tcW w:w="9062" w:type="dxa"/>
            <w:shd w:val="clear" w:color="auto" w:fill="FFFFFF"/>
          </w:tcPr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ofer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 w konkursie na realizację zadania nie jest jednoznaczne                            z przyznaniem dotacji.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Oferty spełniające kryteria formalne zostaną przekazane Komisji Konkursowej powołanej przez Wójta Gminy Sokolniki w celu dokonania oceny merytorycz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nej.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Ocena merytoryczna oferty dokonana zostanie z uwzględnieniem następujących kryteriów:</w:t>
            </w:r>
          </w:p>
          <w:p w:rsidR="006145BE" w:rsidRDefault="006145BE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8165" w:type="dxa"/>
              <w:tblInd w:w="331" w:type="dxa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4083"/>
            </w:tblGrid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Punktacja</w:t>
                  </w:r>
                </w:p>
              </w:tc>
            </w:tr>
            <w:tr w:rsidR="006145BE">
              <w:tc>
                <w:tcPr>
                  <w:tcW w:w="8164" w:type="dxa"/>
                  <w:gridSpan w:val="2"/>
                </w:tcPr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Realizacja zadania jest uzasadniona, celowa, działania zostały dobrane zgodnie z celem, a harmonogram realizacji jest realny</w:t>
                  </w:r>
                </w:p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odpowiada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na potrzeby odbiorców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cele są jasno określone, mierzalne i realne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działania odpowiadają na cel zadania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harmonogram jest realny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6145BE">
              <w:tc>
                <w:tcPr>
                  <w:tcW w:w="8164" w:type="dxa"/>
                  <w:gridSpan w:val="2"/>
                </w:tcPr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Możliwość realizacji przez oferenta zadania publicznego wysokiej jakości</w:t>
                  </w:r>
                </w:p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zasoby materialne i rzeczowe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0-5</w:t>
                  </w:r>
                </w:p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potencjał ludzki (w tym praca społeczna członków                              i wolontariuszy)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0-5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doświadczenie w realizacji zadań o podobnym charakterze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6145BE">
              <w:tc>
                <w:tcPr>
                  <w:tcW w:w="8164" w:type="dxa"/>
                  <w:gridSpan w:val="2"/>
                </w:tcPr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Kalkulacja kosztów realizacji zadania publicznego</w:t>
                  </w:r>
                </w:p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poszczególne wydatki są konieczne i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odpowiednio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uzasadnione oraz kwalifikowalne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0-4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budżet jest realny – wartości nie są zaniżone ani zawyżone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0-4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budżet jest czytelny i zgodny                 z harmonogramem</w:t>
                  </w:r>
                </w:p>
                <w:p w:rsidR="006145BE" w:rsidRDefault="006145B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0-4</w:t>
                  </w:r>
                </w:p>
              </w:tc>
            </w:tr>
            <w:tr w:rsidR="006145BE">
              <w:tc>
                <w:tcPr>
                  <w:tcW w:w="8164" w:type="dxa"/>
                  <w:gridSpan w:val="2"/>
                </w:tcPr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Udział środków własnych lub środków pochodzących z innych źródeł na realiz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ację zadania publicznego</w:t>
                  </w:r>
                </w:p>
                <w:p w:rsidR="006145BE" w:rsidRDefault="006145BE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5 %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6% - 10%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10% - 15%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145BE"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Powyżej 15%</w:t>
                  </w:r>
                </w:p>
              </w:tc>
              <w:tc>
                <w:tcPr>
                  <w:tcW w:w="4082" w:type="dxa"/>
                </w:tcPr>
                <w:p w:rsidR="006145BE" w:rsidRDefault="006846F2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6145BE" w:rsidRDefault="006145BE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5BE" w:rsidRDefault="006145BE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Komisja Konkursowa opiniuje oferty w terminie do 30 dni od daty określającej końcowy termin składania ofert.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Wymagana minimalna liczba punktów uprawniająca oferentów do otrzymania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dotacji wynosi 30, przy czym pierwszeństwo ma oferta, która uzyskała największą liczbę punktów. Maksymalna liczba punktów to 50.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Komisja konkursowa w trakcie oceny ofert może poprosić podmioty o dodatkowe informacje lub dokumenty.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Opinia Komisji Konkursowe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 niezwłocznie przekazywana jest Wójtowi Gminy Sokolniki wraz z ofertami.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Wyboru oferty, która otrzyma dotację dokonuje niezwłocznie Wójt Gminy Sokolniki.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Wójt Gminy Sokolniki może odmówić podmiotowi wyłonionemu w konkursie przyznania dotacji wówczas, gdy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 lub jego reprezentanci utracą zdolność do czynności prawnych lub zostaną ujawnione nieznane wcześniej okoliczności podważające wiarygodność merytoryczną lub finansową oferenta.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postępowaniu konkursowym oferentom nie przysługuje tryb odwoławczy.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głoszenie wyników konkursu ofert nastąpi niezwłocznie po jego rozstrzygnięciu       w Biuletynie Informacji Publicznej, na tablicy ogłoszeń Urzędu Gminy                           w Sokolnikach oraz na stronie www Gminy.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rozstrzygnięciu co do oferty oraz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przyznanej kwocie dotacji oferent jest zawiadamiany również za pośrednictwem maila lub telefonicznie.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Konkurs ofert zostaje unieważniony, gdy: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złożono żadnej oferty;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żadna ze złożonych ofert nie spełnia wymogów zawartych w ogłoszeniu.</w:t>
            </w:r>
          </w:p>
          <w:p w:rsidR="006145BE" w:rsidRDefault="006846F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Zastrzega się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ożliwość odwołania konkursu ofert, przed upływem terminu składania ofert w konkursie.</w:t>
            </w:r>
          </w:p>
        </w:tc>
      </w:tr>
    </w:tbl>
    <w:p w:rsidR="006145BE" w:rsidRDefault="006145BE">
      <w:pPr>
        <w:rPr>
          <w:rFonts w:ascii="Times New Roman" w:hAnsi="Times New Roman" w:cs="Times New Roman"/>
          <w:b/>
          <w:sz w:val="24"/>
          <w:szCs w:val="24"/>
        </w:rPr>
      </w:pPr>
    </w:p>
    <w:p w:rsidR="006145BE" w:rsidRDefault="006145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145BE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F2" w:rsidRDefault="006846F2">
      <w:pPr>
        <w:spacing w:after="0" w:line="240" w:lineRule="auto"/>
      </w:pPr>
      <w:r>
        <w:separator/>
      </w:r>
    </w:p>
  </w:endnote>
  <w:endnote w:type="continuationSeparator" w:id="0">
    <w:p w:rsidR="006846F2" w:rsidRDefault="0068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20529"/>
      <w:docPartObj>
        <w:docPartGallery w:val="Page Numbers (Bottom of Page)"/>
        <w:docPartUnique/>
      </w:docPartObj>
    </w:sdtPr>
    <w:sdtEndPr/>
    <w:sdtContent>
      <w:p w:rsidR="006145BE" w:rsidRDefault="006846F2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D6BEB">
          <w:rPr>
            <w:noProof/>
          </w:rPr>
          <w:t>6</w:t>
        </w:r>
        <w:r>
          <w:fldChar w:fldCharType="end"/>
        </w:r>
      </w:p>
    </w:sdtContent>
  </w:sdt>
  <w:p w:rsidR="006145BE" w:rsidRDefault="00614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F2" w:rsidRDefault="006846F2">
      <w:pPr>
        <w:spacing w:after="0" w:line="240" w:lineRule="auto"/>
      </w:pPr>
      <w:r>
        <w:separator/>
      </w:r>
    </w:p>
  </w:footnote>
  <w:footnote w:type="continuationSeparator" w:id="0">
    <w:p w:rsidR="006846F2" w:rsidRDefault="0068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78"/>
    <w:multiLevelType w:val="multilevel"/>
    <w:tmpl w:val="46381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BA1B27"/>
    <w:multiLevelType w:val="multilevel"/>
    <w:tmpl w:val="D65C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C56366"/>
    <w:multiLevelType w:val="multilevel"/>
    <w:tmpl w:val="3D8A4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C729F2"/>
    <w:multiLevelType w:val="multilevel"/>
    <w:tmpl w:val="C29A1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4CF7842"/>
    <w:multiLevelType w:val="multilevel"/>
    <w:tmpl w:val="C1324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40E5814"/>
    <w:multiLevelType w:val="multilevel"/>
    <w:tmpl w:val="670CA3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70405AA"/>
    <w:multiLevelType w:val="multilevel"/>
    <w:tmpl w:val="D7C09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A7F142C"/>
    <w:multiLevelType w:val="multilevel"/>
    <w:tmpl w:val="1D6053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474773"/>
    <w:multiLevelType w:val="multilevel"/>
    <w:tmpl w:val="97AAE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39A5A1F"/>
    <w:multiLevelType w:val="multilevel"/>
    <w:tmpl w:val="2904F0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3D6636C7"/>
    <w:multiLevelType w:val="multilevel"/>
    <w:tmpl w:val="503ECC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506E4188"/>
    <w:multiLevelType w:val="multilevel"/>
    <w:tmpl w:val="78A83F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>
    <w:nsid w:val="55E902FC"/>
    <w:multiLevelType w:val="multilevel"/>
    <w:tmpl w:val="53C056D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>
    <w:nsid w:val="56541D68"/>
    <w:multiLevelType w:val="multilevel"/>
    <w:tmpl w:val="406A8A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58BA10E6"/>
    <w:multiLevelType w:val="multilevel"/>
    <w:tmpl w:val="E9AE4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D26516C"/>
    <w:multiLevelType w:val="multilevel"/>
    <w:tmpl w:val="D55838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605852F9"/>
    <w:multiLevelType w:val="multilevel"/>
    <w:tmpl w:val="BBA8AD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38626FC"/>
    <w:multiLevelType w:val="multilevel"/>
    <w:tmpl w:val="8846485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9F336D7"/>
    <w:multiLevelType w:val="multilevel"/>
    <w:tmpl w:val="0FEAC8F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18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E"/>
    <w:rsid w:val="006145BE"/>
    <w:rsid w:val="006846F2"/>
    <w:rsid w:val="009D6BEB"/>
    <w:rsid w:val="00F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403C"/>
  </w:style>
  <w:style w:type="character" w:customStyle="1" w:styleId="StopkaZnak">
    <w:name w:val="Stopka Znak"/>
    <w:basedOn w:val="Domylnaczcionkaakapitu"/>
    <w:link w:val="Stopka"/>
    <w:uiPriority w:val="99"/>
    <w:qFormat/>
    <w:rsid w:val="00CE403C"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29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299B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0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C6D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40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29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299B"/>
    <w:rPr>
      <w:b/>
      <w:bCs/>
    </w:rPr>
  </w:style>
  <w:style w:type="table" w:styleId="Tabela-Siatka">
    <w:name w:val="Table Grid"/>
    <w:basedOn w:val="Standardowy"/>
    <w:uiPriority w:val="39"/>
    <w:rsid w:val="00BC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403C"/>
  </w:style>
  <w:style w:type="character" w:customStyle="1" w:styleId="StopkaZnak">
    <w:name w:val="Stopka Znak"/>
    <w:basedOn w:val="Domylnaczcionkaakapitu"/>
    <w:link w:val="Stopka"/>
    <w:uiPriority w:val="99"/>
    <w:qFormat/>
    <w:rsid w:val="00CE403C"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29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299B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0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C6D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40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29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299B"/>
    <w:rPr>
      <w:b/>
      <w:bCs/>
    </w:rPr>
  </w:style>
  <w:style w:type="table" w:styleId="Tabela-Siatka">
    <w:name w:val="Table Grid"/>
    <w:basedOn w:val="Standardowy"/>
    <w:uiPriority w:val="39"/>
    <w:rsid w:val="00BC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639E-E9F0-41B8-B7CF-10538A75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2962</Words>
  <Characters>17774</Characters>
  <Application>Microsoft Office Word</Application>
  <DocSecurity>0</DocSecurity>
  <Lines>148</Lines>
  <Paragraphs>41</Paragraphs>
  <ScaleCrop>false</ScaleCrop>
  <Company/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dc:description/>
  <cp:lastModifiedBy>Monika Herbeć</cp:lastModifiedBy>
  <cp:revision>50</cp:revision>
  <cp:lastPrinted>2022-03-24T09:39:00Z</cp:lastPrinted>
  <dcterms:created xsi:type="dcterms:W3CDTF">2022-03-22T14:51:00Z</dcterms:created>
  <dcterms:modified xsi:type="dcterms:W3CDTF">2022-03-24T13:15:00Z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